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F" w:rsidRPr="003577EA" w:rsidRDefault="004A77D8">
      <w:pPr>
        <w:rPr>
          <w:rFonts w:ascii="Castellar" w:hAnsi="Castellar"/>
          <w:b/>
          <w:color w:val="538135" w:themeColor="accent6" w:themeShade="BF"/>
          <w:sz w:val="24"/>
          <w:szCs w:val="24"/>
        </w:rPr>
      </w:pPr>
      <w:r w:rsidRPr="003577EA">
        <w:rPr>
          <w:rFonts w:ascii="Castellar" w:hAnsi="Castellar"/>
          <w:b/>
          <w:color w:val="538135" w:themeColor="accent6" w:themeShade="BF"/>
          <w:sz w:val="24"/>
          <w:szCs w:val="24"/>
        </w:rPr>
        <w:t>Maine Society of Health-System Pharmacist</w:t>
      </w:r>
    </w:p>
    <w:p w:rsidR="004A77D8" w:rsidRPr="003577EA" w:rsidRDefault="004A77D8">
      <w:pPr>
        <w:rPr>
          <w:rFonts w:ascii="Castellar" w:hAnsi="Castellar"/>
          <w:b/>
          <w:color w:val="538135" w:themeColor="accent6" w:themeShade="BF"/>
          <w:sz w:val="24"/>
          <w:szCs w:val="24"/>
        </w:rPr>
      </w:pPr>
    </w:p>
    <w:p w:rsidR="004A77D8" w:rsidRPr="003577EA" w:rsidRDefault="004A77D8">
      <w:pPr>
        <w:rPr>
          <w:rFonts w:ascii="Castellar" w:hAnsi="Castellar"/>
          <w:b/>
          <w:color w:val="538135" w:themeColor="accent6" w:themeShade="BF"/>
          <w:sz w:val="24"/>
          <w:szCs w:val="24"/>
        </w:rPr>
      </w:pPr>
      <w:r w:rsidRPr="003577EA">
        <w:rPr>
          <w:rFonts w:ascii="Castellar" w:hAnsi="Castellar"/>
          <w:b/>
          <w:color w:val="538135" w:themeColor="accent6" w:themeShade="BF"/>
          <w:sz w:val="24"/>
          <w:szCs w:val="24"/>
        </w:rPr>
        <w:t>Fall Meeting</w:t>
      </w:r>
    </w:p>
    <w:p w:rsidR="004A77D8" w:rsidRPr="003577EA" w:rsidRDefault="004A77D8">
      <w:pPr>
        <w:rPr>
          <w:rFonts w:ascii="Castellar" w:hAnsi="Castellar"/>
          <w:b/>
          <w:color w:val="538135" w:themeColor="accent6" w:themeShade="BF"/>
          <w:sz w:val="24"/>
          <w:szCs w:val="24"/>
        </w:rPr>
      </w:pPr>
      <w:r w:rsidRPr="003577EA">
        <w:rPr>
          <w:rFonts w:ascii="Castellar" w:hAnsi="Castellar"/>
          <w:b/>
          <w:color w:val="538135" w:themeColor="accent6" w:themeShade="BF"/>
          <w:sz w:val="24"/>
          <w:szCs w:val="24"/>
        </w:rPr>
        <w:t>November 2, 2019</w:t>
      </w:r>
    </w:p>
    <w:p w:rsidR="004A77D8" w:rsidRPr="003577EA" w:rsidRDefault="004A77D8">
      <w:pPr>
        <w:rPr>
          <w:rFonts w:ascii="Castellar" w:hAnsi="Castellar"/>
          <w:b/>
          <w:color w:val="538135" w:themeColor="accent6" w:themeShade="BF"/>
          <w:sz w:val="24"/>
          <w:szCs w:val="24"/>
        </w:rPr>
      </w:pPr>
    </w:p>
    <w:p w:rsidR="004A77D8" w:rsidRPr="003577EA" w:rsidRDefault="004A77D8">
      <w:pPr>
        <w:rPr>
          <w:rFonts w:ascii="Castellar" w:hAnsi="Castellar"/>
          <w:b/>
          <w:color w:val="538135" w:themeColor="accent6" w:themeShade="BF"/>
          <w:sz w:val="24"/>
          <w:szCs w:val="24"/>
        </w:rPr>
      </w:pPr>
      <w:r w:rsidRPr="003577EA">
        <w:rPr>
          <w:rFonts w:ascii="Castellar" w:hAnsi="Castellar"/>
          <w:b/>
          <w:color w:val="538135" w:themeColor="accent6" w:themeShade="BF"/>
          <w:sz w:val="24"/>
          <w:szCs w:val="24"/>
        </w:rPr>
        <w:t>Pharmacist Handout</w:t>
      </w:r>
    </w:p>
    <w:p w:rsidR="004A77D8" w:rsidRDefault="004A77D8"/>
    <w:p w:rsidR="004A77D8" w:rsidRPr="003577EA" w:rsidRDefault="003577EA" w:rsidP="004A77D8">
      <w:pPr>
        <w:jc w:val="left"/>
        <w:rPr>
          <w:b/>
        </w:rPr>
      </w:pPr>
      <w:r w:rsidRPr="003577EA">
        <w:rPr>
          <w:b/>
        </w:rPr>
        <w:t>Impact of Clinician Burnout on Patient Safety: Journey to a Resilient &amp; Thriving Healthcare Workforce</w:t>
      </w:r>
    </w:p>
    <w:p w:rsidR="003577EA" w:rsidRDefault="003577EA" w:rsidP="004A77D8">
      <w:pPr>
        <w:jc w:val="left"/>
      </w:pPr>
      <w:r w:rsidRPr="003577EA">
        <w:rPr>
          <w:b/>
        </w:rPr>
        <w:t xml:space="preserve">Paul W. Abramowitz, PharmD, </w:t>
      </w:r>
      <w:proofErr w:type="spellStart"/>
      <w:r w:rsidRPr="003577EA">
        <w:rPr>
          <w:b/>
        </w:rPr>
        <w:t>Sc.D</w:t>
      </w:r>
      <w:proofErr w:type="spellEnd"/>
      <w:r w:rsidRPr="003577EA">
        <w:rPr>
          <w:b/>
        </w:rPr>
        <w:t xml:space="preserve"> (Hon), FASHP, ASHP’s CEO</w:t>
      </w:r>
    </w:p>
    <w:p w:rsidR="003577EA" w:rsidRDefault="003577EA" w:rsidP="004A77D8">
      <w:pPr>
        <w:jc w:val="left"/>
        <w:rPr>
          <w:i/>
        </w:rPr>
      </w:pPr>
      <w:r w:rsidRPr="003577EA">
        <w:rPr>
          <w:i/>
        </w:rPr>
        <w:t>0837-9999-19-255-L05-P</w:t>
      </w:r>
    </w:p>
    <w:p w:rsidR="003577EA" w:rsidRPr="003577EA" w:rsidRDefault="003577EA" w:rsidP="003577EA">
      <w:pPr>
        <w:pStyle w:val="ListParagraph"/>
        <w:numPr>
          <w:ilvl w:val="0"/>
          <w:numId w:val="1"/>
        </w:numPr>
        <w:jc w:val="left"/>
        <w:rPr>
          <w:i/>
        </w:rPr>
      </w:pPr>
      <w:r>
        <w:t>Define burnout, well-being, and resilience</w:t>
      </w:r>
    </w:p>
    <w:p w:rsidR="003577EA" w:rsidRPr="003577EA" w:rsidRDefault="003577EA" w:rsidP="003577EA">
      <w:pPr>
        <w:pStyle w:val="ListParagraph"/>
        <w:numPr>
          <w:ilvl w:val="0"/>
          <w:numId w:val="1"/>
        </w:numPr>
        <w:jc w:val="left"/>
        <w:rPr>
          <w:i/>
        </w:rPr>
      </w:pPr>
      <w:r>
        <w:t>Explain why clinician burnout is a patient care and healthcare workforce problem</w:t>
      </w:r>
    </w:p>
    <w:p w:rsidR="003577EA" w:rsidRPr="003577EA" w:rsidRDefault="003577EA" w:rsidP="003577EA">
      <w:pPr>
        <w:pStyle w:val="ListParagraph"/>
        <w:numPr>
          <w:ilvl w:val="0"/>
          <w:numId w:val="1"/>
        </w:numPr>
        <w:jc w:val="left"/>
        <w:rPr>
          <w:i/>
        </w:rPr>
      </w:pPr>
      <w:r>
        <w:t>Discuss the U.S. National Academy of Medicine Clinician Well-Being and Resilience Action Collaborative</w:t>
      </w:r>
    </w:p>
    <w:p w:rsidR="003577EA" w:rsidRPr="003577EA" w:rsidRDefault="003577EA" w:rsidP="003577EA">
      <w:pPr>
        <w:pStyle w:val="ListParagraph"/>
        <w:numPr>
          <w:ilvl w:val="0"/>
          <w:numId w:val="1"/>
        </w:numPr>
        <w:jc w:val="left"/>
        <w:rPr>
          <w:i/>
        </w:rPr>
      </w:pPr>
      <w:r>
        <w:t>Identify strategies to improve well-being and resilience in the healthcare workforce</w:t>
      </w:r>
    </w:p>
    <w:p w:rsidR="003577EA" w:rsidRDefault="003577EA" w:rsidP="003577EA">
      <w:pPr>
        <w:jc w:val="left"/>
      </w:pPr>
    </w:p>
    <w:p w:rsidR="003577EA" w:rsidRDefault="003577EA" w:rsidP="003577EA">
      <w:pPr>
        <w:jc w:val="left"/>
      </w:pPr>
    </w:p>
    <w:p w:rsidR="00E36E21" w:rsidRDefault="00E36E21" w:rsidP="003577EA">
      <w:pPr>
        <w:jc w:val="left"/>
      </w:pPr>
    </w:p>
    <w:p w:rsidR="003577EA" w:rsidRPr="003577EA" w:rsidRDefault="003577EA" w:rsidP="003577EA">
      <w:pPr>
        <w:jc w:val="left"/>
        <w:rPr>
          <w:b/>
        </w:rPr>
      </w:pPr>
      <w:r w:rsidRPr="003577EA">
        <w:rPr>
          <w:b/>
        </w:rPr>
        <w:t>Vancomycin AUC: It’s Easy as 1</w:t>
      </w:r>
      <w:proofErr w:type="gramStart"/>
      <w:r w:rsidRPr="003577EA">
        <w:rPr>
          <w:b/>
        </w:rPr>
        <w:t>,2,3</w:t>
      </w:r>
      <w:proofErr w:type="gramEnd"/>
    </w:p>
    <w:p w:rsidR="003577EA" w:rsidRPr="003577EA" w:rsidRDefault="003577EA" w:rsidP="003577EA">
      <w:pPr>
        <w:jc w:val="left"/>
        <w:rPr>
          <w:b/>
        </w:rPr>
      </w:pPr>
      <w:r w:rsidRPr="003577EA">
        <w:rPr>
          <w:b/>
        </w:rPr>
        <w:t>Brian McCullough, PharmD, BCPS</w:t>
      </w:r>
    </w:p>
    <w:p w:rsidR="003577EA" w:rsidRPr="003577EA" w:rsidRDefault="003577EA" w:rsidP="003577EA">
      <w:pPr>
        <w:jc w:val="left"/>
        <w:rPr>
          <w:i/>
        </w:rPr>
      </w:pPr>
      <w:r w:rsidRPr="003577EA">
        <w:rPr>
          <w:i/>
        </w:rPr>
        <w:t>0837-9999-19-259-L01-P</w:t>
      </w:r>
    </w:p>
    <w:p w:rsidR="003577EA" w:rsidRPr="003577EA" w:rsidRDefault="003577EA" w:rsidP="003577EA">
      <w:pPr>
        <w:pStyle w:val="ListParagraph"/>
        <w:numPr>
          <w:ilvl w:val="0"/>
          <w:numId w:val="2"/>
        </w:numPr>
        <w:jc w:val="left"/>
        <w:rPr>
          <w:i/>
        </w:rPr>
      </w:pPr>
      <w:r>
        <w:t>Describe vancomycin’s pharmacodynamics activity</w:t>
      </w:r>
    </w:p>
    <w:p w:rsidR="003577EA" w:rsidRPr="003577EA" w:rsidRDefault="003577EA" w:rsidP="003577EA">
      <w:pPr>
        <w:pStyle w:val="ListParagraph"/>
        <w:numPr>
          <w:ilvl w:val="0"/>
          <w:numId w:val="2"/>
        </w:numPr>
        <w:jc w:val="left"/>
        <w:rPr>
          <w:i/>
        </w:rPr>
      </w:pPr>
      <w:r>
        <w:t>Identify the current recommendations for vancomycin dosing</w:t>
      </w:r>
    </w:p>
    <w:p w:rsidR="003577EA" w:rsidRPr="003577EA" w:rsidRDefault="003577EA" w:rsidP="003577EA">
      <w:pPr>
        <w:pStyle w:val="ListParagraph"/>
        <w:numPr>
          <w:ilvl w:val="0"/>
          <w:numId w:val="2"/>
        </w:numPr>
        <w:jc w:val="left"/>
        <w:rPr>
          <w:i/>
        </w:rPr>
      </w:pPr>
      <w:r>
        <w:t>Recognize the proper calculation for area under the curve</w:t>
      </w:r>
    </w:p>
    <w:p w:rsidR="003577EA" w:rsidRDefault="003577EA" w:rsidP="003577EA">
      <w:pPr>
        <w:jc w:val="left"/>
        <w:rPr>
          <w:i/>
        </w:rPr>
      </w:pPr>
    </w:p>
    <w:p w:rsidR="003577EA" w:rsidRDefault="003577EA" w:rsidP="003577EA">
      <w:pPr>
        <w:jc w:val="left"/>
        <w:rPr>
          <w:i/>
        </w:rPr>
      </w:pPr>
    </w:p>
    <w:p w:rsidR="00BA26DE" w:rsidRPr="00BA26DE" w:rsidRDefault="00BA26DE" w:rsidP="003577EA">
      <w:pPr>
        <w:jc w:val="left"/>
      </w:pPr>
    </w:p>
    <w:p w:rsidR="003577EA" w:rsidRDefault="00553489" w:rsidP="003577EA">
      <w:pPr>
        <w:jc w:val="left"/>
        <w:rPr>
          <w:b/>
        </w:rPr>
      </w:pPr>
      <w:r w:rsidRPr="00553489">
        <w:rPr>
          <w:b/>
        </w:rPr>
        <w:t>Preventing Harm and Reducing Maine Overdose Deaths: A Naloxone and SUD Stigma Primer for Pharmacists</w:t>
      </w:r>
    </w:p>
    <w:p w:rsidR="00553489" w:rsidRDefault="00553489" w:rsidP="003577EA">
      <w:pPr>
        <w:jc w:val="left"/>
        <w:rPr>
          <w:b/>
        </w:rPr>
      </w:pPr>
      <w:r>
        <w:rPr>
          <w:b/>
        </w:rPr>
        <w:t>Stephaine Nichols, PharmD, BCPS, BCPP, FCCP</w:t>
      </w:r>
    </w:p>
    <w:p w:rsidR="00553489" w:rsidRPr="00553489" w:rsidRDefault="00553489" w:rsidP="003577EA">
      <w:pPr>
        <w:jc w:val="left"/>
        <w:rPr>
          <w:b/>
        </w:rPr>
      </w:pPr>
      <w:r>
        <w:rPr>
          <w:b/>
        </w:rPr>
        <w:t xml:space="preserve">Kenneth McCall, </w:t>
      </w:r>
      <w:proofErr w:type="spellStart"/>
      <w:r>
        <w:rPr>
          <w:b/>
        </w:rPr>
        <w:t>BSPharm</w:t>
      </w:r>
      <w:proofErr w:type="spellEnd"/>
      <w:r>
        <w:rPr>
          <w:b/>
        </w:rPr>
        <w:t xml:space="preserve">, PharmD, BCGP, </w:t>
      </w:r>
      <w:proofErr w:type="spellStart"/>
      <w:r>
        <w:rPr>
          <w:b/>
        </w:rPr>
        <w:t>FAPhA</w:t>
      </w:r>
      <w:proofErr w:type="spellEnd"/>
    </w:p>
    <w:p w:rsidR="00553489" w:rsidRPr="00553489" w:rsidRDefault="00553489" w:rsidP="003577EA">
      <w:pPr>
        <w:jc w:val="left"/>
        <w:rPr>
          <w:i/>
        </w:rPr>
      </w:pPr>
      <w:r w:rsidRPr="00553489">
        <w:rPr>
          <w:i/>
        </w:rPr>
        <w:t>0837-9999-19-261-L01-P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Recognize the impact of the opioid epidemic in Maine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Identify stigmatizing terms related to patients with substance use disorder (SUD) and select appropriate alternatives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Recognize the impact of stigmatizing terminology on patient care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Recognize non-stigmatizing language to a scenario involving a patient with SUD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Review SUD to other medical/psychiatric diseases and describe the harm reduction approach to care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Describe the mechanism of naloxone and its place in therapy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Identify persons at risk of an opioid overdose and signs of an overdose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Summarize the characteristics of the various naloxone formulations including administration techniques</w:t>
      </w:r>
    </w:p>
    <w:p w:rsidR="00553489" w:rsidRDefault="00553489" w:rsidP="00553489">
      <w:pPr>
        <w:pStyle w:val="ListParagraph"/>
        <w:numPr>
          <w:ilvl w:val="0"/>
          <w:numId w:val="3"/>
        </w:numPr>
        <w:jc w:val="left"/>
      </w:pPr>
      <w:r>
        <w:t>Discuss critical patient education points regarding opioid overdose and naloxone</w:t>
      </w:r>
    </w:p>
    <w:p w:rsidR="00553489" w:rsidRDefault="00553489" w:rsidP="00553489">
      <w:pPr>
        <w:jc w:val="left"/>
      </w:pPr>
    </w:p>
    <w:p w:rsidR="00553489" w:rsidRDefault="00553489" w:rsidP="00553489">
      <w:pPr>
        <w:jc w:val="left"/>
      </w:pPr>
    </w:p>
    <w:p w:rsidR="00553489" w:rsidRDefault="00553489" w:rsidP="00553489">
      <w:pPr>
        <w:jc w:val="left"/>
      </w:pPr>
    </w:p>
    <w:p w:rsidR="00553489" w:rsidRPr="000C0578" w:rsidRDefault="00553489" w:rsidP="00553489">
      <w:pPr>
        <w:jc w:val="left"/>
        <w:rPr>
          <w:b/>
        </w:rPr>
      </w:pPr>
      <w:bookmarkStart w:id="0" w:name="_GoBack"/>
      <w:proofErr w:type="spellStart"/>
      <w:r w:rsidRPr="000C0578">
        <w:rPr>
          <w:b/>
        </w:rPr>
        <w:lastRenderedPageBreak/>
        <w:t>Biosimilars</w:t>
      </w:r>
      <w:proofErr w:type="spellEnd"/>
      <w:r w:rsidRPr="000C0578">
        <w:rPr>
          <w:b/>
        </w:rPr>
        <w:t xml:space="preserve">: Current Trends and Future </w:t>
      </w:r>
      <w:bookmarkEnd w:id="0"/>
      <w:r w:rsidRPr="000C0578">
        <w:rPr>
          <w:b/>
        </w:rPr>
        <w:t>Directions</w:t>
      </w:r>
    </w:p>
    <w:p w:rsidR="00553489" w:rsidRPr="000C0578" w:rsidRDefault="00553489" w:rsidP="00553489">
      <w:pPr>
        <w:jc w:val="left"/>
        <w:rPr>
          <w:b/>
        </w:rPr>
      </w:pPr>
      <w:r w:rsidRPr="000C0578">
        <w:rPr>
          <w:b/>
        </w:rPr>
        <w:t>Christopher Peric, PharmD, BCPS</w:t>
      </w:r>
    </w:p>
    <w:p w:rsidR="00553489" w:rsidRPr="000C0578" w:rsidRDefault="00553489" w:rsidP="00553489">
      <w:pPr>
        <w:jc w:val="left"/>
        <w:rPr>
          <w:i/>
        </w:rPr>
      </w:pPr>
      <w:r w:rsidRPr="000C0578">
        <w:rPr>
          <w:i/>
        </w:rPr>
        <w:t>0837-9999-19-257-L01-P</w:t>
      </w:r>
    </w:p>
    <w:p w:rsidR="00553489" w:rsidRDefault="00553489" w:rsidP="00553489">
      <w:pPr>
        <w:pStyle w:val="ListParagraph"/>
        <w:numPr>
          <w:ilvl w:val="0"/>
          <w:numId w:val="4"/>
        </w:numPr>
        <w:jc w:val="left"/>
      </w:pPr>
      <w:r>
        <w:t>Review biosimilar regulatory and development pathways</w:t>
      </w:r>
    </w:p>
    <w:p w:rsidR="00553489" w:rsidRDefault="00553489" w:rsidP="00553489">
      <w:pPr>
        <w:pStyle w:val="ListParagraph"/>
        <w:numPr>
          <w:ilvl w:val="0"/>
          <w:numId w:val="4"/>
        </w:numPr>
        <w:jc w:val="left"/>
      </w:pPr>
      <w:r>
        <w:t xml:space="preserve">Describe current formulary management approaches for </w:t>
      </w:r>
      <w:proofErr w:type="spellStart"/>
      <w:r>
        <w:t>biosimilars</w:t>
      </w:r>
      <w:proofErr w:type="spellEnd"/>
    </w:p>
    <w:p w:rsidR="00553489" w:rsidRDefault="00553489" w:rsidP="00553489">
      <w:pPr>
        <w:pStyle w:val="ListParagraph"/>
        <w:numPr>
          <w:ilvl w:val="0"/>
          <w:numId w:val="4"/>
        </w:numPr>
        <w:jc w:val="left"/>
      </w:pPr>
      <w:r>
        <w:t>Discuss clinical and financial considerations for future biosimilar use</w:t>
      </w:r>
    </w:p>
    <w:p w:rsidR="00553489" w:rsidRDefault="00553489" w:rsidP="00553489">
      <w:pPr>
        <w:jc w:val="left"/>
      </w:pPr>
    </w:p>
    <w:p w:rsidR="00553489" w:rsidRDefault="00553489" w:rsidP="00553489">
      <w:pPr>
        <w:jc w:val="left"/>
      </w:pPr>
    </w:p>
    <w:p w:rsidR="00553489" w:rsidRDefault="00553489" w:rsidP="00553489">
      <w:pPr>
        <w:jc w:val="left"/>
      </w:pPr>
    </w:p>
    <w:p w:rsidR="00553489" w:rsidRPr="000C0578" w:rsidRDefault="00D115B8" w:rsidP="00553489">
      <w:pPr>
        <w:jc w:val="left"/>
        <w:rPr>
          <w:b/>
        </w:rPr>
      </w:pPr>
      <w:r>
        <w:rPr>
          <w:b/>
        </w:rPr>
        <w:t>Delegate Update on ASHP’s Summer Meeting</w:t>
      </w:r>
    </w:p>
    <w:p w:rsidR="00553489" w:rsidRPr="000C0578" w:rsidRDefault="00553489" w:rsidP="00553489">
      <w:pPr>
        <w:jc w:val="left"/>
        <w:rPr>
          <w:b/>
        </w:rPr>
      </w:pPr>
      <w:r w:rsidRPr="000C0578">
        <w:rPr>
          <w:b/>
        </w:rPr>
        <w:t>Kathryn Sawicki, PharmD</w:t>
      </w:r>
    </w:p>
    <w:p w:rsidR="00553489" w:rsidRPr="000C0578" w:rsidRDefault="00553489" w:rsidP="00553489">
      <w:pPr>
        <w:jc w:val="left"/>
        <w:rPr>
          <w:b/>
        </w:rPr>
      </w:pPr>
      <w:r w:rsidRPr="000C0578">
        <w:rPr>
          <w:b/>
        </w:rPr>
        <w:t>Matthew Christie, PharmD</w:t>
      </w:r>
    </w:p>
    <w:p w:rsidR="00553489" w:rsidRPr="000C0578" w:rsidRDefault="00553489" w:rsidP="00553489">
      <w:pPr>
        <w:jc w:val="left"/>
        <w:rPr>
          <w:i/>
        </w:rPr>
      </w:pPr>
      <w:r w:rsidRPr="000C0578">
        <w:rPr>
          <w:i/>
        </w:rPr>
        <w:t>0837-9999-19-</w:t>
      </w:r>
      <w:r w:rsidR="00D115B8">
        <w:rPr>
          <w:i/>
        </w:rPr>
        <w:t>264-L04-P</w:t>
      </w:r>
    </w:p>
    <w:p w:rsidR="00553489" w:rsidRDefault="00D115B8" w:rsidP="00553489">
      <w:pPr>
        <w:pStyle w:val="ListParagraph"/>
        <w:numPr>
          <w:ilvl w:val="0"/>
          <w:numId w:val="5"/>
        </w:numPr>
        <w:jc w:val="left"/>
      </w:pPr>
      <w:r>
        <w:t>Review the policies presented for change at ASHP’s summer meeting</w:t>
      </w:r>
    </w:p>
    <w:p w:rsidR="00D115B8" w:rsidRDefault="00D115B8" w:rsidP="00553489">
      <w:pPr>
        <w:pStyle w:val="ListParagraph"/>
        <w:numPr>
          <w:ilvl w:val="0"/>
          <w:numId w:val="5"/>
        </w:numPr>
        <w:jc w:val="left"/>
      </w:pPr>
      <w:r>
        <w:t>Assess policies and changes that were extensively discussed</w:t>
      </w:r>
    </w:p>
    <w:p w:rsidR="00D115B8" w:rsidRDefault="00D115B8" w:rsidP="00553489">
      <w:pPr>
        <w:pStyle w:val="ListParagraph"/>
        <w:numPr>
          <w:ilvl w:val="0"/>
          <w:numId w:val="5"/>
        </w:numPr>
        <w:jc w:val="left"/>
      </w:pPr>
      <w:r>
        <w:t xml:space="preserve">Explain the use of policies </w:t>
      </w:r>
      <w:r w:rsidR="005E04D6">
        <w:t>in the national law making process</w:t>
      </w:r>
    </w:p>
    <w:p w:rsidR="005E04D6" w:rsidRDefault="005E04D6" w:rsidP="00553489">
      <w:pPr>
        <w:pStyle w:val="ListParagraph"/>
        <w:numPr>
          <w:ilvl w:val="0"/>
          <w:numId w:val="5"/>
        </w:numPr>
        <w:jc w:val="left"/>
      </w:pPr>
      <w:r>
        <w:t>Identify policies up for future discussion</w:t>
      </w:r>
    </w:p>
    <w:p w:rsidR="005E04D6" w:rsidRDefault="005E04D6" w:rsidP="005E04D6">
      <w:pPr>
        <w:jc w:val="left"/>
      </w:pPr>
    </w:p>
    <w:p w:rsidR="005E04D6" w:rsidRDefault="005E04D6" w:rsidP="005E04D6">
      <w:pPr>
        <w:jc w:val="left"/>
      </w:pPr>
    </w:p>
    <w:p w:rsidR="005E04D6" w:rsidRPr="003577EA" w:rsidRDefault="005E04D6" w:rsidP="005E04D6">
      <w:pPr>
        <w:jc w:val="left"/>
      </w:pPr>
    </w:p>
    <w:p w:rsidR="003577EA" w:rsidRPr="003577EA" w:rsidRDefault="003577EA" w:rsidP="003577EA">
      <w:pPr>
        <w:jc w:val="left"/>
        <w:rPr>
          <w:i/>
        </w:rPr>
      </w:pPr>
    </w:p>
    <w:p w:rsidR="003577EA" w:rsidRDefault="003577EA" w:rsidP="003577EA">
      <w:pPr>
        <w:jc w:val="left"/>
        <w:rPr>
          <w:i/>
        </w:rPr>
      </w:pPr>
    </w:p>
    <w:p w:rsidR="003577EA" w:rsidRPr="003577EA" w:rsidRDefault="003577EA" w:rsidP="003577EA">
      <w:pPr>
        <w:jc w:val="left"/>
        <w:rPr>
          <w:i/>
        </w:rPr>
      </w:pPr>
    </w:p>
    <w:p w:rsidR="003577EA" w:rsidRPr="003577EA" w:rsidRDefault="003577EA" w:rsidP="004A77D8">
      <w:pPr>
        <w:jc w:val="left"/>
        <w:rPr>
          <w:i/>
        </w:rPr>
      </w:pPr>
    </w:p>
    <w:sectPr w:rsidR="003577EA" w:rsidRPr="0035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E27"/>
    <w:multiLevelType w:val="hybridMultilevel"/>
    <w:tmpl w:val="2DB6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10CE"/>
    <w:multiLevelType w:val="hybridMultilevel"/>
    <w:tmpl w:val="E3FE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653F7"/>
    <w:multiLevelType w:val="hybridMultilevel"/>
    <w:tmpl w:val="0584128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7CE7382"/>
    <w:multiLevelType w:val="hybridMultilevel"/>
    <w:tmpl w:val="26C8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14A0"/>
    <w:multiLevelType w:val="hybridMultilevel"/>
    <w:tmpl w:val="D5B0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8"/>
    <w:rsid w:val="00044486"/>
    <w:rsid w:val="000C0578"/>
    <w:rsid w:val="003577EA"/>
    <w:rsid w:val="004A77D8"/>
    <w:rsid w:val="00553489"/>
    <w:rsid w:val="005E04D6"/>
    <w:rsid w:val="0065470F"/>
    <w:rsid w:val="00BA26DE"/>
    <w:rsid w:val="00D115B8"/>
    <w:rsid w:val="00E36E21"/>
    <w:rsid w:val="00E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Dombrowik</dc:creator>
  <cp:lastModifiedBy>Andrea R. Lai</cp:lastModifiedBy>
  <cp:revision>2</cp:revision>
  <dcterms:created xsi:type="dcterms:W3CDTF">2019-09-30T17:51:00Z</dcterms:created>
  <dcterms:modified xsi:type="dcterms:W3CDTF">2019-09-30T17:51:00Z</dcterms:modified>
</cp:coreProperties>
</file>